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00D" w:rsidRDefault="00E43F71">
      <w:pPr>
        <w:jc w:val="center"/>
        <w:rPr>
          <w:rFonts w:ascii="標楷體" w:eastAsia="標楷體" w:hAnsi="標楷體"/>
          <w:sz w:val="36"/>
          <w:szCs w:val="36"/>
        </w:rPr>
      </w:pPr>
      <w:bookmarkStart w:id="0" w:name="_GoBack"/>
      <w:bookmarkEnd w:id="0"/>
      <w:r>
        <w:rPr>
          <w:rFonts w:ascii="標楷體" w:eastAsia="標楷體" w:hAnsi="標楷體" w:hint="eastAsia"/>
          <w:sz w:val="36"/>
          <w:szCs w:val="36"/>
        </w:rPr>
        <w:t>實習領域先修專業課程及實習申請排序準則</w:t>
      </w:r>
    </w:p>
    <w:p w:rsidR="0006400D" w:rsidRDefault="00E43F71">
      <w:pPr>
        <w:snapToGrid w:val="0"/>
        <w:spacing w:line="240" w:lineRule="atLeast"/>
        <w:jc w:val="right"/>
        <w:rPr>
          <w:rFonts w:ascii="標楷體" w:eastAsia="標楷體" w:hAnsi="標楷體"/>
          <w:sz w:val="20"/>
          <w:szCs w:val="20"/>
        </w:rPr>
      </w:pPr>
      <w:r>
        <w:rPr>
          <w:rFonts w:ascii="標楷體" w:eastAsia="標楷體" w:hAnsi="標楷體" w:hint="eastAsia"/>
          <w:sz w:val="20"/>
          <w:szCs w:val="20"/>
        </w:rPr>
        <w:t>104</w:t>
      </w:r>
      <w:r>
        <w:rPr>
          <w:rFonts w:ascii="標楷體" w:eastAsia="標楷體" w:hAnsi="標楷體" w:hint="eastAsia"/>
          <w:sz w:val="20"/>
          <w:szCs w:val="20"/>
        </w:rPr>
        <w:t>年</w:t>
      </w:r>
      <w:r>
        <w:rPr>
          <w:rFonts w:ascii="標楷體" w:eastAsia="標楷體" w:hAnsi="標楷體" w:hint="eastAsia"/>
          <w:sz w:val="20"/>
          <w:szCs w:val="20"/>
        </w:rPr>
        <w:t xml:space="preserve">10 </w:t>
      </w:r>
      <w:r>
        <w:rPr>
          <w:rFonts w:ascii="標楷體" w:eastAsia="標楷體" w:hAnsi="標楷體" w:hint="eastAsia"/>
          <w:sz w:val="20"/>
          <w:szCs w:val="20"/>
        </w:rPr>
        <w:t>月</w:t>
      </w:r>
      <w:r>
        <w:rPr>
          <w:rFonts w:ascii="標楷體" w:eastAsia="標楷體" w:hAnsi="標楷體" w:hint="eastAsia"/>
          <w:sz w:val="20"/>
          <w:szCs w:val="20"/>
        </w:rPr>
        <w:t xml:space="preserve"> 13</w:t>
      </w:r>
      <w:r>
        <w:rPr>
          <w:rFonts w:ascii="標楷體" w:eastAsia="標楷體" w:hAnsi="標楷體" w:hint="eastAsia"/>
          <w:sz w:val="20"/>
          <w:szCs w:val="20"/>
        </w:rPr>
        <w:t>日</w:t>
      </w:r>
      <w:r>
        <w:rPr>
          <w:rFonts w:ascii="標楷體" w:eastAsia="標楷體" w:hAnsi="標楷體" w:hint="eastAsia"/>
          <w:sz w:val="20"/>
          <w:szCs w:val="20"/>
        </w:rPr>
        <w:t xml:space="preserve">104 </w:t>
      </w:r>
      <w:r>
        <w:rPr>
          <w:rFonts w:ascii="標楷體" w:eastAsia="標楷體" w:hAnsi="標楷體" w:hint="eastAsia"/>
          <w:sz w:val="20"/>
          <w:szCs w:val="20"/>
        </w:rPr>
        <w:t>學年度第</w:t>
      </w:r>
      <w:r>
        <w:rPr>
          <w:rFonts w:ascii="標楷體" w:eastAsia="標楷體" w:hAnsi="標楷體" w:hint="eastAsia"/>
          <w:sz w:val="20"/>
          <w:szCs w:val="20"/>
        </w:rPr>
        <w:t xml:space="preserve">1 </w:t>
      </w:r>
      <w:r>
        <w:rPr>
          <w:rFonts w:ascii="標楷體" w:eastAsia="標楷體" w:hAnsi="標楷體" w:hint="eastAsia"/>
          <w:sz w:val="20"/>
          <w:szCs w:val="20"/>
        </w:rPr>
        <w:t>學期第</w:t>
      </w:r>
      <w:r>
        <w:rPr>
          <w:rFonts w:ascii="標楷體" w:eastAsia="標楷體" w:hAnsi="標楷體" w:hint="eastAsia"/>
          <w:sz w:val="20"/>
          <w:szCs w:val="20"/>
        </w:rPr>
        <w:t xml:space="preserve">2 </w:t>
      </w:r>
      <w:r>
        <w:rPr>
          <w:rFonts w:ascii="標楷體" w:eastAsia="標楷體" w:hAnsi="標楷體" w:hint="eastAsia"/>
          <w:sz w:val="20"/>
          <w:szCs w:val="20"/>
        </w:rPr>
        <w:t>次日間學制實習委員會通過</w:t>
      </w:r>
    </w:p>
    <w:p w:rsidR="0006400D" w:rsidRDefault="0006400D">
      <w:pPr>
        <w:jc w:val="center"/>
        <w:rPr>
          <w:rFonts w:ascii="標楷體" w:eastAsia="標楷體" w:hAnsi="標楷體"/>
        </w:rPr>
      </w:pPr>
    </w:p>
    <w:p w:rsidR="0006400D" w:rsidRDefault="00E43F71">
      <w:pPr>
        <w:numPr>
          <w:ilvl w:val="0"/>
          <w:numId w:val="1"/>
        </w:numPr>
        <w:rPr>
          <w:rFonts w:ascii="標楷體" w:eastAsia="標楷體" w:hAnsi="標楷體"/>
        </w:rPr>
      </w:pPr>
      <w:r>
        <w:rPr>
          <w:rFonts w:ascii="標楷體" w:eastAsia="標楷體" w:hAnsi="標楷體" w:hint="eastAsia"/>
        </w:rPr>
        <w:t>本準則依據國立金門大學社會工作學系社會工作實習辦法訂定之。</w:t>
      </w:r>
    </w:p>
    <w:p w:rsidR="0006400D" w:rsidRDefault="00E43F71">
      <w:pPr>
        <w:numPr>
          <w:ilvl w:val="0"/>
          <w:numId w:val="1"/>
        </w:numPr>
        <w:rPr>
          <w:rFonts w:ascii="標楷體" w:eastAsia="標楷體" w:hAnsi="標楷體"/>
          <w:shd w:val="pct10" w:color="auto" w:fill="FFFFFF"/>
        </w:rPr>
      </w:pPr>
      <w:r>
        <w:rPr>
          <w:rFonts w:ascii="標楷體" w:eastAsia="標楷體" w:hAnsi="標楷體" w:hint="eastAsia"/>
        </w:rPr>
        <w:t>申請實習者除應符合上述辦法第五條之修讀資格外，並應依照其所欲申請之實習機構領域，須選讀專業領域至少一門以上之課程，且成績及格者，方可申請實習。</w:t>
      </w:r>
    </w:p>
    <w:p w:rsidR="0006400D" w:rsidRDefault="00E43F71">
      <w:pPr>
        <w:numPr>
          <w:ilvl w:val="0"/>
          <w:numId w:val="1"/>
        </w:numPr>
        <w:rPr>
          <w:rFonts w:ascii="標楷體" w:eastAsia="標楷體" w:hAnsi="標楷體"/>
          <w:shd w:val="pct10" w:color="auto" w:fill="FFFFFF"/>
        </w:rPr>
      </w:pPr>
      <w:r>
        <w:rPr>
          <w:rFonts w:ascii="標楷體" w:eastAsia="標楷體" w:hAnsi="標楷體" w:hint="eastAsia"/>
        </w:rPr>
        <w:t>專業領域課程如下</w:t>
      </w:r>
      <w:r>
        <w:rPr>
          <w:rFonts w:ascii="標楷體" w:eastAsia="標楷體" w:hAnsi="標楷體" w:hint="eastAsia"/>
        </w:rPr>
        <w:t>:</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兒童領域：兒童福利。</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青少年領域（含少年觀護機構）：少年問題與社工處遇、少年犯罪與觀護制度。</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性別及家庭領域：婦女福利、家庭政策、性別與社會政策。</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老人領域：老人福利、長期照顧。</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原住民領域：多元文化社會工作。</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身心障礙者領域：身心障礙者福利、長期照顧。</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學校領域：學校社會工作、兒童福利或少年問題與社工處遇。</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醫療及心理衛生領域：醫療社會工作、心理衛生。</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社會行政領域（含勞工及就業領域）：貧窮與社會救助、勞工福利</w:t>
      </w:r>
      <w:proofErr w:type="gramStart"/>
      <w:r>
        <w:rPr>
          <w:rFonts w:ascii="標楷體" w:eastAsia="標楷體" w:hAnsi="標楷體" w:hint="eastAsia"/>
        </w:rPr>
        <w:t>與移工</w:t>
      </w:r>
      <w:proofErr w:type="gramEnd"/>
      <w:r>
        <w:rPr>
          <w:rFonts w:ascii="標楷體" w:eastAsia="標楷體" w:hAnsi="標楷體" w:hint="eastAsia"/>
        </w:rPr>
        <w:t>問題。</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非營利組織領域：非營利組織管理、志願服務與志工管理、社會資源開發與運用。</w:t>
      </w:r>
    </w:p>
    <w:p w:rsidR="0006400D" w:rsidRDefault="00E43F71">
      <w:pPr>
        <w:numPr>
          <w:ilvl w:val="0"/>
          <w:numId w:val="2"/>
        </w:numPr>
        <w:tabs>
          <w:tab w:val="left" w:pos="1440"/>
        </w:tabs>
        <w:ind w:left="1440" w:hanging="960"/>
        <w:rPr>
          <w:rFonts w:ascii="標楷體" w:eastAsia="標楷體" w:hAnsi="標楷體"/>
        </w:rPr>
      </w:pPr>
      <w:r>
        <w:rPr>
          <w:rFonts w:ascii="標楷體" w:eastAsia="標楷體" w:hAnsi="標楷體" w:hint="eastAsia"/>
        </w:rPr>
        <w:t>其他：非屬上述各領域之機構，採用個案送實習委員會認定。</w:t>
      </w:r>
    </w:p>
    <w:p w:rsidR="0006400D" w:rsidRDefault="00E43F71">
      <w:pPr>
        <w:numPr>
          <w:ilvl w:val="0"/>
          <w:numId w:val="1"/>
        </w:numPr>
        <w:rPr>
          <w:rFonts w:eastAsia="標楷體"/>
        </w:rPr>
      </w:pPr>
      <w:r>
        <w:rPr>
          <w:rFonts w:ascii="標楷體" w:eastAsia="標楷體" w:hAnsi="標楷體" w:hint="eastAsia"/>
        </w:rPr>
        <w:t>實習機構之初選名額遴選</w:t>
      </w:r>
      <w:proofErr w:type="gramStart"/>
      <w:r>
        <w:rPr>
          <w:rFonts w:ascii="標楷體" w:eastAsia="標楷體" w:hAnsi="標楷體" w:hint="eastAsia"/>
        </w:rPr>
        <w:t>採</w:t>
      </w:r>
      <w:proofErr w:type="gramEnd"/>
      <w:r>
        <w:rPr>
          <w:rFonts w:ascii="標楷體" w:eastAsia="標楷體" w:hAnsi="標楷體" w:hint="eastAsia"/>
        </w:rPr>
        <w:t>先修上述領域專業課程或與機構依其專業特性所要求之相關專業科目成績，再以申請同</w:t>
      </w:r>
      <w:r>
        <w:rPr>
          <w:rFonts w:ascii="標楷體" w:eastAsia="標楷體" w:hAnsi="標楷體" w:hint="eastAsia"/>
        </w:rPr>
        <w:t>學之志願序為先後排定原則。</w:t>
      </w:r>
    </w:p>
    <w:p w:rsidR="0006400D" w:rsidRDefault="00E43F71">
      <w:pPr>
        <w:numPr>
          <w:ilvl w:val="0"/>
          <w:numId w:val="1"/>
        </w:numPr>
        <w:rPr>
          <w:rFonts w:ascii="標楷體" w:eastAsia="標楷體" w:hAnsi="標楷體"/>
        </w:rPr>
      </w:pPr>
      <w:r>
        <w:rPr>
          <w:rFonts w:ascii="標楷體" w:eastAsia="標楷體" w:hAnsi="標楷體" w:hint="eastAsia"/>
        </w:rPr>
        <w:t>本準則應經實習委員會</w:t>
      </w:r>
      <w:r>
        <w:rPr>
          <w:rFonts w:ascii="標楷體" w:eastAsia="標楷體" w:hAnsi="標楷體" w:hint="eastAsia"/>
          <w:color w:val="000000"/>
        </w:rPr>
        <w:t>通過，並送系</w:t>
      </w:r>
      <w:proofErr w:type="gramStart"/>
      <w:r>
        <w:rPr>
          <w:rFonts w:ascii="標楷體" w:eastAsia="標楷體" w:hAnsi="標楷體" w:hint="eastAsia"/>
          <w:color w:val="000000"/>
        </w:rPr>
        <w:t>務</w:t>
      </w:r>
      <w:proofErr w:type="gramEnd"/>
      <w:r>
        <w:rPr>
          <w:rFonts w:ascii="標楷體" w:eastAsia="標楷體" w:hAnsi="標楷體" w:hint="eastAsia"/>
          <w:color w:val="000000"/>
        </w:rPr>
        <w:t>會議備查後實施，修正時亦同。</w:t>
      </w:r>
    </w:p>
    <w:p w:rsidR="0006400D" w:rsidRDefault="0006400D">
      <w:pPr>
        <w:rPr>
          <w:rFonts w:ascii="標楷體" w:eastAsia="標楷體" w:hAnsi="標楷體"/>
        </w:rPr>
      </w:pPr>
    </w:p>
    <w:p w:rsidR="0006400D" w:rsidRDefault="0006400D"/>
    <w:sectPr w:rsidR="0006400D">
      <w:pgSz w:w="11906" w:h="16838"/>
      <w:pgMar w:top="1134" w:right="1418"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CB720A"/>
    <w:multiLevelType w:val="multilevel"/>
    <w:tmpl w:val="44CB720A"/>
    <w:lvl w:ilvl="0">
      <w:start w:val="1"/>
      <w:numFmt w:val="taiwaneseCountingThousand"/>
      <w:lvlText w:val="%1、"/>
      <w:lvlJc w:val="left"/>
      <w:pPr>
        <w:tabs>
          <w:tab w:val="left" w:pos="480"/>
        </w:tabs>
        <w:ind w:left="480" w:hanging="480"/>
      </w:pPr>
      <w:rPr>
        <w:rFonts w:hint="default"/>
      </w:rPr>
    </w:lvl>
    <w:lvl w:ilvl="1" w:tentative="1">
      <w:start w:val="1"/>
      <w:numFmt w:val="ideographTraditional"/>
      <w:lvlText w:val="%2、"/>
      <w:lvlJc w:val="left"/>
      <w:pPr>
        <w:tabs>
          <w:tab w:val="left" w:pos="960"/>
        </w:tabs>
        <w:ind w:left="960" w:hanging="480"/>
      </w:pPr>
    </w:lvl>
    <w:lvl w:ilvl="2" w:tentative="1">
      <w:start w:val="1"/>
      <w:numFmt w:val="lowerRoman"/>
      <w:lvlText w:val="%3."/>
      <w:lvlJc w:val="right"/>
      <w:pPr>
        <w:tabs>
          <w:tab w:val="left" w:pos="1440"/>
        </w:tabs>
        <w:ind w:left="1440" w:hanging="480"/>
      </w:pPr>
    </w:lvl>
    <w:lvl w:ilvl="3" w:tentative="1">
      <w:start w:val="1"/>
      <w:numFmt w:val="decimal"/>
      <w:lvlText w:val="%4."/>
      <w:lvlJc w:val="left"/>
      <w:pPr>
        <w:tabs>
          <w:tab w:val="left" w:pos="1920"/>
        </w:tabs>
        <w:ind w:left="1920" w:hanging="480"/>
      </w:pPr>
    </w:lvl>
    <w:lvl w:ilvl="4" w:tentative="1">
      <w:start w:val="1"/>
      <w:numFmt w:val="ideographTraditional"/>
      <w:lvlText w:val="%5、"/>
      <w:lvlJc w:val="left"/>
      <w:pPr>
        <w:tabs>
          <w:tab w:val="left" w:pos="2400"/>
        </w:tabs>
        <w:ind w:left="2400" w:hanging="480"/>
      </w:pPr>
    </w:lvl>
    <w:lvl w:ilvl="5" w:tentative="1">
      <w:start w:val="1"/>
      <w:numFmt w:val="lowerRoman"/>
      <w:lvlText w:val="%6."/>
      <w:lvlJc w:val="right"/>
      <w:pPr>
        <w:tabs>
          <w:tab w:val="left" w:pos="2880"/>
        </w:tabs>
        <w:ind w:left="2880" w:hanging="480"/>
      </w:pPr>
    </w:lvl>
    <w:lvl w:ilvl="6" w:tentative="1">
      <w:start w:val="1"/>
      <w:numFmt w:val="decimal"/>
      <w:lvlText w:val="%7."/>
      <w:lvlJc w:val="left"/>
      <w:pPr>
        <w:tabs>
          <w:tab w:val="left" w:pos="3360"/>
        </w:tabs>
        <w:ind w:left="3360" w:hanging="480"/>
      </w:pPr>
    </w:lvl>
    <w:lvl w:ilvl="7" w:tentative="1">
      <w:start w:val="1"/>
      <w:numFmt w:val="ideographTraditional"/>
      <w:lvlText w:val="%8、"/>
      <w:lvlJc w:val="left"/>
      <w:pPr>
        <w:tabs>
          <w:tab w:val="left" w:pos="3840"/>
        </w:tabs>
        <w:ind w:left="3840" w:hanging="480"/>
      </w:pPr>
    </w:lvl>
    <w:lvl w:ilvl="8" w:tentative="1">
      <w:start w:val="1"/>
      <w:numFmt w:val="lowerRoman"/>
      <w:lvlText w:val="%9."/>
      <w:lvlJc w:val="right"/>
      <w:pPr>
        <w:tabs>
          <w:tab w:val="left" w:pos="4320"/>
        </w:tabs>
        <w:ind w:left="4320" w:hanging="480"/>
      </w:pPr>
    </w:lvl>
  </w:abstractNum>
  <w:abstractNum w:abstractNumId="1">
    <w:nsid w:val="54615FA1"/>
    <w:multiLevelType w:val="multilevel"/>
    <w:tmpl w:val="54615FA1"/>
    <w:lvl w:ilvl="0">
      <w:start w:val="1"/>
      <w:numFmt w:val="taiwaneseCountingThousand"/>
      <w:lvlText w:val="（%1）"/>
      <w:lvlJc w:val="left"/>
      <w:pPr>
        <w:tabs>
          <w:tab w:val="left" w:pos="5640"/>
        </w:tabs>
        <w:ind w:left="5640" w:hanging="720"/>
      </w:pPr>
      <w:rPr>
        <w:rFonts w:hint="default"/>
        <w:lang w:val="en-US"/>
      </w:rPr>
    </w:lvl>
    <w:lvl w:ilvl="1" w:tentative="1">
      <w:start w:val="1"/>
      <w:numFmt w:val="ideographTraditional"/>
      <w:lvlText w:val="%2、"/>
      <w:lvlJc w:val="left"/>
      <w:pPr>
        <w:tabs>
          <w:tab w:val="left" w:pos="5880"/>
        </w:tabs>
        <w:ind w:left="5880" w:hanging="480"/>
      </w:pPr>
    </w:lvl>
    <w:lvl w:ilvl="2" w:tentative="1">
      <w:start w:val="1"/>
      <w:numFmt w:val="lowerRoman"/>
      <w:lvlText w:val="%3."/>
      <w:lvlJc w:val="right"/>
      <w:pPr>
        <w:tabs>
          <w:tab w:val="left" w:pos="6360"/>
        </w:tabs>
        <w:ind w:left="6360" w:hanging="480"/>
      </w:pPr>
    </w:lvl>
    <w:lvl w:ilvl="3" w:tentative="1">
      <w:start w:val="1"/>
      <w:numFmt w:val="decimal"/>
      <w:lvlText w:val="%4."/>
      <w:lvlJc w:val="left"/>
      <w:pPr>
        <w:tabs>
          <w:tab w:val="left" w:pos="6840"/>
        </w:tabs>
        <w:ind w:left="6840" w:hanging="480"/>
      </w:pPr>
    </w:lvl>
    <w:lvl w:ilvl="4" w:tentative="1">
      <w:start w:val="1"/>
      <w:numFmt w:val="ideographTraditional"/>
      <w:lvlText w:val="%5、"/>
      <w:lvlJc w:val="left"/>
      <w:pPr>
        <w:tabs>
          <w:tab w:val="left" w:pos="7320"/>
        </w:tabs>
        <w:ind w:left="7320" w:hanging="480"/>
      </w:pPr>
    </w:lvl>
    <w:lvl w:ilvl="5" w:tentative="1">
      <w:start w:val="1"/>
      <w:numFmt w:val="lowerRoman"/>
      <w:lvlText w:val="%6."/>
      <w:lvlJc w:val="right"/>
      <w:pPr>
        <w:tabs>
          <w:tab w:val="left" w:pos="7800"/>
        </w:tabs>
        <w:ind w:left="7800" w:hanging="480"/>
      </w:pPr>
    </w:lvl>
    <w:lvl w:ilvl="6" w:tentative="1">
      <w:start w:val="1"/>
      <w:numFmt w:val="decimal"/>
      <w:lvlText w:val="%7."/>
      <w:lvlJc w:val="left"/>
      <w:pPr>
        <w:tabs>
          <w:tab w:val="left" w:pos="8280"/>
        </w:tabs>
        <w:ind w:left="8280" w:hanging="480"/>
      </w:pPr>
    </w:lvl>
    <w:lvl w:ilvl="7" w:tentative="1">
      <w:start w:val="1"/>
      <w:numFmt w:val="ideographTraditional"/>
      <w:lvlText w:val="%8、"/>
      <w:lvlJc w:val="left"/>
      <w:pPr>
        <w:tabs>
          <w:tab w:val="left" w:pos="8760"/>
        </w:tabs>
        <w:ind w:left="8760" w:hanging="480"/>
      </w:pPr>
    </w:lvl>
    <w:lvl w:ilvl="8" w:tentative="1">
      <w:start w:val="1"/>
      <w:numFmt w:val="lowerRoman"/>
      <w:lvlText w:val="%9."/>
      <w:lvlJc w:val="right"/>
      <w:pPr>
        <w:tabs>
          <w:tab w:val="left" w:pos="9240"/>
        </w:tabs>
        <w:ind w:left="924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00D"/>
    <w:rsid w:val="0006400D"/>
    <w:rsid w:val="00E43F7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Words>
  <Characters>469</Characters>
  <Application>Microsoft Office Word</Application>
  <DocSecurity>0</DocSecurity>
  <Lines>3</Lines>
  <Paragraphs>1</Paragraphs>
  <ScaleCrop>false</ScaleCrop>
  <Company/>
  <LinksUpToDate>false</LinksUpToDate>
  <CharactersWithSpaces>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實習領域先修專業課程及實習申請排序準則</dc:title>
  <dc:creator>user</dc:creator>
  <cp:lastModifiedBy>user</cp:lastModifiedBy>
  <cp:revision>2</cp:revision>
  <dcterms:created xsi:type="dcterms:W3CDTF">2018-01-12T09:13:00Z</dcterms:created>
  <dcterms:modified xsi:type="dcterms:W3CDTF">2018-01-12T09:13:00Z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2052-9.1.0.4468</vt:lpwstr>
  </property>
</Properties>
</file>